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D" w:rsidRPr="00FD6132" w:rsidRDefault="00B429ED" w:rsidP="00B429ED">
      <w:pPr>
        <w:tabs>
          <w:tab w:val="left" w:pos="6570"/>
        </w:tabs>
        <w:spacing w:line="280" w:lineRule="exact"/>
        <w:jc w:val="center"/>
        <w:rPr>
          <w:rFonts w:ascii="Century Gothic" w:hAnsi="Century Gothic"/>
          <w:b/>
          <w:noProof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365F91" w:themeColor="accent1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11.7pt;margin-top:-4.7pt;width:104.4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" fillcolor="white [3201]" stroked="f" strokeweight=".5pt">
            <v:textbox>
              <w:txbxContent>
                <w:p w:rsidR="00B429ED" w:rsidRDefault="00B429ED" w:rsidP="00B429ED">
                  <w:r w:rsidRPr="00B438B5">
                    <w:rPr>
                      <w:noProof/>
                    </w:rPr>
                    <w:drawing>
                      <wp:inline distT="0" distB="0" distL="0" distR="0">
                        <wp:extent cx="897592" cy="853440"/>
                        <wp:effectExtent l="0" t="0" r="0" b="3810"/>
                        <wp:docPr id="2" name="Image 2" descr="C:\Users\tabaa\Desktop\Cameleon studio\Fichiers-sources-1-partie\Stand Al Omrane-I\Links\logo groupe al omr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baa\Desktop\Cameleon studio\Fichiers-sources-1-partie\Stand Al Omrane-I\Links\logo groupe al omr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579" cy="8705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D6132">
        <w:rPr>
          <w:rFonts w:ascii="Century Gothic" w:hAnsi="Century Gothic"/>
          <w:b/>
          <w:noProof/>
          <w:color w:val="365F91" w:themeColor="accent1" w:themeShade="BF"/>
          <w:sz w:val="28"/>
          <w:szCs w:val="28"/>
        </w:rPr>
        <w:t>Communiqué de Presse</w:t>
      </w:r>
    </w:p>
    <w:p w:rsidR="00B429ED" w:rsidRPr="00FD6132" w:rsidRDefault="00B429ED" w:rsidP="00B429ED">
      <w:pPr>
        <w:tabs>
          <w:tab w:val="left" w:pos="6570"/>
        </w:tabs>
        <w:spacing w:line="280" w:lineRule="exact"/>
        <w:jc w:val="center"/>
        <w:rPr>
          <w:rFonts w:ascii="Century Gothic" w:hAnsi="Century Gothic"/>
          <w:b/>
          <w:noProof/>
          <w:color w:val="365F91" w:themeColor="accent1" w:themeShade="BF"/>
          <w:sz w:val="28"/>
          <w:szCs w:val="28"/>
        </w:rPr>
      </w:pPr>
    </w:p>
    <w:p w:rsidR="00B429ED" w:rsidRDefault="00B429ED" w:rsidP="00B429ED">
      <w:pPr>
        <w:tabs>
          <w:tab w:val="left" w:pos="6570"/>
        </w:tabs>
        <w:spacing w:line="400" w:lineRule="exact"/>
        <w:jc w:val="center"/>
        <w:rPr>
          <w:rFonts w:ascii="Century Gothic" w:hAnsi="Century Gothic"/>
          <w:b/>
          <w:noProof/>
          <w:color w:val="365F91" w:themeColor="accent1" w:themeShade="BF"/>
          <w:sz w:val="14"/>
          <w:szCs w:val="14"/>
        </w:rPr>
      </w:pPr>
    </w:p>
    <w:p w:rsidR="00B429ED" w:rsidRPr="00534554" w:rsidRDefault="00B429ED" w:rsidP="00B429ED">
      <w:pPr>
        <w:tabs>
          <w:tab w:val="left" w:pos="6570"/>
        </w:tabs>
        <w:spacing w:line="400" w:lineRule="exact"/>
        <w:jc w:val="center"/>
        <w:rPr>
          <w:rFonts w:ascii="Century Gothic" w:hAnsi="Century Gothic"/>
          <w:b/>
          <w:noProof/>
          <w:color w:val="365F91" w:themeColor="accent1" w:themeShade="BF"/>
          <w:sz w:val="14"/>
          <w:szCs w:val="14"/>
        </w:rPr>
      </w:pPr>
    </w:p>
    <w:p w:rsidR="00B429ED" w:rsidRPr="004E6F82" w:rsidRDefault="00B429ED" w:rsidP="00B429ED">
      <w:pPr>
        <w:spacing w:line="400" w:lineRule="exact"/>
        <w:ind w:left="1416" w:firstLine="708"/>
        <w:jc w:val="center"/>
        <w:rPr>
          <w:rFonts w:ascii="Century Gothic" w:hAnsi="Century Gothic"/>
          <w:b/>
          <w:bCs/>
          <w:noProof/>
          <w:color w:val="943634"/>
          <w:sz w:val="36"/>
          <w:szCs w:val="36"/>
        </w:rPr>
      </w:pPr>
      <w:r w:rsidRPr="004E6F82">
        <w:rPr>
          <w:rFonts w:ascii="Century Gothic" w:hAnsi="Century Gothic"/>
          <w:b/>
          <w:bCs/>
          <w:noProof/>
          <w:color w:val="943634"/>
          <w:sz w:val="36"/>
          <w:szCs w:val="36"/>
        </w:rPr>
        <w:t xml:space="preserve">Tamesna : </w:t>
      </w:r>
      <w:r>
        <w:rPr>
          <w:rFonts w:ascii="Century Gothic" w:hAnsi="Century Gothic"/>
          <w:b/>
          <w:bCs/>
          <w:noProof/>
          <w:color w:val="943634"/>
          <w:sz w:val="36"/>
          <w:szCs w:val="36"/>
        </w:rPr>
        <w:t xml:space="preserve">un nouveau souffle grâce au lancement de nouveaux projets socio-économiques, culturels et environnementaux </w:t>
      </w:r>
    </w:p>
    <w:p w:rsidR="00B429ED" w:rsidRDefault="00B429ED" w:rsidP="00B429ED">
      <w:pPr>
        <w:pStyle w:val="s5"/>
        <w:spacing w:before="0" w:beforeAutospacing="0" w:after="150" w:afterAutospacing="0" w:line="324" w:lineRule="atLeast"/>
        <w:jc w:val="both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b/>
          <w:bCs/>
          <w:color w:val="404040" w:themeColor="text1" w:themeTint="BF"/>
          <w:sz w:val="23"/>
          <w:szCs w:val="23"/>
        </w:rPr>
        <w:t>Tamesna, le jeudi 28 mars 2019 :</w:t>
      </w:r>
      <w:r>
        <w:rPr>
          <w:rFonts w:ascii="Century Gothic" w:hAnsi="Century Gothic"/>
          <w:b/>
          <w:bCs/>
          <w:color w:val="404040" w:themeColor="text1" w:themeTint="BF"/>
          <w:sz w:val="23"/>
          <w:szCs w:val="23"/>
        </w:rPr>
        <w:t xml:space="preserve">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La ville de Tamesna accueille à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l’occasion du 12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  <w:vertAlign w:val="superscript"/>
        </w:rPr>
        <w:t>ème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anniversaire d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e son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lancement par SM le Roi Mohammed VI, Que Dieu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l’A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ssiste, une rencontre d’échange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s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sous le thème : « Tamesna, une ville intégrée et durable ». L’objet de cette rencontre est de faire l’état des lieux des réalisations au niveau des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équipements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 publi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c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s, des projets de proximité socio-économique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s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et des espaces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verts.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Présidée par M.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Abdelahad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Fassi 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Fihri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, Ministre de l’Aménagement du Territoire National, de l’Urbanisme, de l’Habitat et de la Politique de la Ville, en présence de responsables gouvernementaux,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des autorités régionales et locales et des élus. C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ette rencontre a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pour objectif de faire connaître les projets socioéconomiques et culturels réalisés, et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s’enquérir de l’état d’avancement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d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es chantiers en cours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,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qui visent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à renforcer l’attractivité et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la promotion de la qualité de vie des citoyens et du cadre urbain de la ville.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Dans son allocution M. le Ministre a souligné l’importance de ces projets qui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se sont vus renforcés notamment dans le cadre du Plan de relance, marquant ainsi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un nouveau départ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de ce grand projet urbain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. Dans l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e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même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sens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, M.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Badr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e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Kanouni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, Président du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Directoire du Holding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Al Omrane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,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 a rappelé la pertinence de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l’approche participative adoptée dans la conduite des projets et salué l’engagement des différentes parties prenantes tant au niveau du gouvernement, qu’au niveau des acteurs régionaux notamment t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outes les composantes de l’administration territoriale représentée par la Wilaya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de la Région Rabat-Salé-</w:t>
      </w:r>
      <w:proofErr w:type="spellStart"/>
      <w:r>
        <w:rPr>
          <w:rFonts w:ascii="Century Gothic" w:hAnsi="Century Gothic"/>
          <w:color w:val="404040" w:themeColor="text1" w:themeTint="BF"/>
          <w:sz w:val="23"/>
          <w:szCs w:val="23"/>
        </w:rPr>
        <w:t>Kénitra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, la Préfecture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 de </w:t>
      </w:r>
      <w:proofErr w:type="spellStart"/>
      <w:r>
        <w:rPr>
          <w:rFonts w:ascii="Century Gothic" w:hAnsi="Century Gothic"/>
          <w:color w:val="404040" w:themeColor="text1" w:themeTint="BF"/>
          <w:sz w:val="23"/>
          <w:szCs w:val="23"/>
        </w:rPr>
        <w:t>Skhirate</w:t>
      </w:r>
      <w:proofErr w:type="spellEnd"/>
      <w:r>
        <w:rPr>
          <w:rFonts w:ascii="Century Gothic" w:hAnsi="Century Gothic"/>
          <w:color w:val="404040" w:themeColor="text1" w:themeTint="BF"/>
          <w:sz w:val="23"/>
          <w:szCs w:val="23"/>
        </w:rPr>
        <w:t>-</w:t>
      </w:r>
      <w:proofErr w:type="spellStart"/>
      <w:r>
        <w:rPr>
          <w:rFonts w:ascii="Century Gothic" w:hAnsi="Century Gothic"/>
          <w:color w:val="404040" w:themeColor="text1" w:themeTint="BF"/>
          <w:sz w:val="23"/>
          <w:szCs w:val="23"/>
        </w:rPr>
        <w:t>Temara</w:t>
      </w:r>
      <w:proofErr w:type="spellEnd"/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et les élus. Une approche, ajoute Monsieur </w:t>
      </w:r>
      <w:proofErr w:type="spellStart"/>
      <w:r>
        <w:rPr>
          <w:rFonts w:ascii="Century Gothic" w:hAnsi="Century Gothic"/>
          <w:color w:val="404040" w:themeColor="text1" w:themeTint="BF"/>
          <w:sz w:val="23"/>
          <w:szCs w:val="23"/>
        </w:rPr>
        <w:t>Kanouni</w:t>
      </w:r>
      <w:proofErr w:type="spellEnd"/>
      <w:r>
        <w:rPr>
          <w:rFonts w:ascii="Century Gothic" w:hAnsi="Century Gothic"/>
          <w:color w:val="404040" w:themeColor="text1" w:themeTint="BF"/>
          <w:sz w:val="23"/>
          <w:szCs w:val="23"/>
        </w:rPr>
        <w:t>, qui s’inscrit parfaitement dans le sens des D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irectives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R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oyales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appelant à la convergence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et 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l’unification des efforts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En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marge de cette rencontre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, deux conventions 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sont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signées. Une convention relative au partenariat entre le Comité Provincial de l’INDH de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Skhirate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 –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Temara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, la Commune de Sidi 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Yahya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Zäer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, l’Agence de Développement Social et le Groupe Al Omrane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pour l’accompagnement dans l’animation sociale de proximité dans les domaines s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ocial, sporti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f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et culturel. La deuxième convention est relative à la cession du marché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couvert et ses dépendances à la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  Commune de Sidi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Yahya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Zaër</w:t>
      </w:r>
      <w:proofErr w:type="spellEnd"/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avec l’accompagnement de l’INDH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A cette même occasion, plusieurs projets réalisés ont été visités, en l’occurrence la zone industrielle, construite sur une superficie de 17 hectares pour accueillir 38 unités industrielles dont 7 sont déjà opérationnelles, 24 en construction et 7 en cours d’autorisation.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Ce fut aussi l’occasion de faire le point sur l’état d’avancement concernant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trois projets sociaux: un centre d’accompagnement et de protection de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l’enfance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,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lastRenderedPageBreak/>
        <w:t xml:space="preserve">un centre d’orientation et d’assistance aux personnes en situation d’handicap et un espace polyvalent pour les femmes en situation difficile. En outre, un nouveau parc de 10 hectares a été lancé, comprenant un espace pour le </w:t>
      </w:r>
      <w:proofErr w:type="spellStart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skateboarding</w:t>
      </w:r>
      <w:proofErr w:type="spellEnd"/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, deux terrains de proximité, des espaces de jeux pour enfants et des espaces ouverts pour les loisirs et les activités sportives et culturelles.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Il est à rappeler que la ville de Tamesn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a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compte plus de 50 000 habitants, et ce grâce aux projets de logement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s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réalisés dans le cadre du partenariat entre les promoteurs privés et le Groupe Al Omrane. Ces projets ont permis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 la réalisation de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23.000 logements et 4.040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 xml:space="preserve">unités de 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relogements. 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La ville de Tamesna bénéficie de toutes les infrastructures, routes, électricité et eau potable. Elle dispose également d’une station indépendante d’épuration des eaux usées et d’un réseau de routes la reliant à la capitale, aux routes nationales et à l’autoroute. 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Aujourd’hui, 44 administrations publiques sont disponibles à Tamesna, pour répondre aux besoins des citoyens en matière de sécurité, de santé, de sport et de culture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. A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insi qu’un centre de formation professionnelle, un centre de l’Office National de l’Electricité et de l’Eau Potable, un centre de Gendarmerie Royale et un centre de Protection Civile.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Les espaces religieux, culturels et éducatifs ont été renforcés par la construction de 5 mosquées sur tout le territoire de Tamesna, 1 maison de la culture, 1 maison de jeunesse et 22 établissements scolaires, dont 4 privés.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Au niveau sportif, Tamesna dispose de 5 installations dont 2 centres sportifs avec 5 terrains de proximité, une piscine, un terrain de pétanque et une salle d’arts martiaux. Au niveau de la santé, la ville dispose de 3 centres de santé, dont 1 opérationnel et 2 seront ouverts incessamment. 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Sur le plan économique, Tamesna dispose, en plus de la zone industrielle, d’un marché </w:t>
      </w:r>
      <w:r>
        <w:rPr>
          <w:rFonts w:ascii="Century Gothic" w:hAnsi="Century Gothic"/>
          <w:color w:val="404040" w:themeColor="text1" w:themeTint="BF"/>
          <w:sz w:val="23"/>
          <w:szCs w:val="23"/>
        </w:rPr>
        <w:t>couvert,</w:t>
      </w: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 xml:space="preserve"> de 136 magasins avec des bureaux et un espace de loisirs. A cela s’ajoute un centre d’activités artisanales qui offre 39 ateliers.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  <w:r w:rsidRPr="004E6F82">
        <w:rPr>
          <w:rFonts w:ascii="Century Gothic" w:hAnsi="Century Gothic"/>
          <w:color w:val="404040" w:themeColor="text1" w:themeTint="BF"/>
          <w:sz w:val="23"/>
          <w:szCs w:val="23"/>
        </w:rPr>
        <w:t>En ce qui concerne l’environnement, une superficie de plus de 100 hectares a été allouée aux espaces verts, dont 50% déjà aménagée. La ville dispose d’un jardin central de 13 hectares, d’une forêt urbaine en cours d’aménagement et d’un nouveau parc de 10 hectares dont le coup d’envoi de construction a été donné à l’occasion de cette rencontre.</w:t>
      </w:r>
    </w:p>
    <w:p w:rsidR="00B429ED" w:rsidRPr="004E6F82" w:rsidRDefault="00B429ED" w:rsidP="00B429ED">
      <w:pPr>
        <w:spacing w:after="120"/>
        <w:jc w:val="both"/>
        <w:rPr>
          <w:rFonts w:ascii="Century Gothic" w:hAnsi="Century Gothic"/>
          <w:color w:val="404040" w:themeColor="text1" w:themeTint="BF"/>
          <w:sz w:val="23"/>
          <w:szCs w:val="23"/>
        </w:rPr>
      </w:pPr>
    </w:p>
    <w:p w:rsidR="000623F0" w:rsidRDefault="000623F0"/>
    <w:sectPr w:rsidR="000623F0" w:rsidSect="00032AE8">
      <w:footerReference w:type="default" r:id="rId5"/>
      <w:pgSz w:w="11906" w:h="16838" w:code="9"/>
      <w:pgMar w:top="1134" w:right="1418" w:bottom="1134" w:left="1418" w:header="709" w:footer="709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3150291"/>
      <w:docPartObj>
        <w:docPartGallery w:val="Page Numbers (Bottom of Page)"/>
        <w:docPartUnique/>
      </w:docPartObj>
    </w:sdtPr>
    <w:sdtEndPr>
      <w:rPr>
        <w:b/>
        <w:bCs/>
        <w:sz w:val="12"/>
        <w:szCs w:val="12"/>
      </w:rPr>
    </w:sdtEndPr>
    <w:sdtContent>
      <w:p w:rsidR="00463726" w:rsidRPr="00FD6132" w:rsidRDefault="00FC0295">
        <w:pPr>
          <w:pStyle w:val="Pieddepage"/>
          <w:jc w:val="right"/>
          <w:rPr>
            <w:b/>
            <w:bCs/>
            <w:sz w:val="12"/>
            <w:szCs w:val="12"/>
          </w:rPr>
        </w:pPr>
        <w:r w:rsidRPr="00FD6132">
          <w:rPr>
            <w:b/>
            <w:bCs/>
            <w:sz w:val="12"/>
            <w:szCs w:val="12"/>
          </w:rPr>
          <w:fldChar w:fldCharType="begin"/>
        </w:r>
        <w:r w:rsidRPr="00FD6132">
          <w:rPr>
            <w:b/>
            <w:bCs/>
            <w:sz w:val="12"/>
            <w:szCs w:val="12"/>
          </w:rPr>
          <w:instrText>PAGE   \* MERGEFORMAT</w:instrText>
        </w:r>
        <w:r w:rsidRPr="00FD6132">
          <w:rPr>
            <w:b/>
            <w:bCs/>
            <w:sz w:val="12"/>
            <w:szCs w:val="12"/>
          </w:rPr>
          <w:fldChar w:fldCharType="separate"/>
        </w:r>
        <w:r w:rsidR="008D5CBD">
          <w:rPr>
            <w:b/>
            <w:bCs/>
            <w:noProof/>
            <w:sz w:val="12"/>
            <w:szCs w:val="12"/>
          </w:rPr>
          <w:t>2</w:t>
        </w:r>
        <w:r w:rsidRPr="00FD6132">
          <w:rPr>
            <w:b/>
            <w:bCs/>
            <w:sz w:val="12"/>
            <w:szCs w:val="12"/>
          </w:rPr>
          <w:fldChar w:fldCharType="end"/>
        </w:r>
      </w:p>
    </w:sdtContent>
  </w:sdt>
  <w:p w:rsidR="00463726" w:rsidRDefault="00FC0295">
    <w:pPr>
      <w:pStyle w:val="Pieddepag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29ED"/>
    <w:rsid w:val="000623F0"/>
    <w:rsid w:val="008D5CBD"/>
    <w:rsid w:val="00B429ED"/>
    <w:rsid w:val="00FC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429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9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5">
    <w:name w:val="s5"/>
    <w:basedOn w:val="Normal"/>
    <w:rsid w:val="00B429ED"/>
    <w:pPr>
      <w:spacing w:before="100" w:beforeAutospacing="1" w:after="100" w:afterAutospacing="1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9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2019-03-28T10:12:00Z</cp:lastPrinted>
  <dcterms:created xsi:type="dcterms:W3CDTF">2019-03-28T10:17:00Z</dcterms:created>
  <dcterms:modified xsi:type="dcterms:W3CDTF">2019-03-28T10:17:00Z</dcterms:modified>
</cp:coreProperties>
</file>